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2A" w:rsidRDefault="009C462A" w:rsidP="00472CA5">
      <w:pPr>
        <w:jc w:val="both"/>
        <w:rPr>
          <w:rFonts w:ascii="Sylfaen" w:hAnsi="Sylfaen"/>
          <w:lang w:val="ka-GE"/>
        </w:rPr>
      </w:pPr>
    </w:p>
    <w:p w:rsidR="009C462A" w:rsidRDefault="009C462A" w:rsidP="009C462A">
      <w:pPr>
        <w:jc w:val="center"/>
        <w:rPr>
          <w:rFonts w:ascii="Sylfaen" w:hAnsi="Sylfaen"/>
          <w:lang w:val="ka-GE"/>
        </w:rPr>
      </w:pPr>
      <w:r>
        <w:rPr>
          <w:rFonts w:ascii="Sylfaen" w:hAnsi="Sylfaen"/>
          <w:lang w:val="ka-GE"/>
        </w:rPr>
        <w:t>ინფექციური დაავადებების მართვა</w:t>
      </w:r>
    </w:p>
    <w:p w:rsidR="009C462A" w:rsidRDefault="009C462A" w:rsidP="009C462A">
      <w:pPr>
        <w:jc w:val="center"/>
        <w:rPr>
          <w:rFonts w:ascii="Sylfaen" w:hAnsi="Sylfaen"/>
          <w:lang w:val="ka-GE"/>
        </w:rPr>
      </w:pPr>
      <w:r>
        <w:rPr>
          <w:rFonts w:ascii="Sylfaen" w:hAnsi="Sylfaen"/>
          <w:lang w:val="ka-GE"/>
        </w:rPr>
        <w:t>(ქრონიკული ვირუსული ჰეპატიტები)</w:t>
      </w:r>
    </w:p>
    <w:p w:rsidR="009C462A" w:rsidRDefault="009C462A" w:rsidP="00472CA5">
      <w:pPr>
        <w:jc w:val="both"/>
        <w:rPr>
          <w:rFonts w:ascii="Sylfaen" w:hAnsi="Sylfaen"/>
          <w:lang w:val="ka-GE"/>
        </w:rPr>
      </w:pPr>
    </w:p>
    <w:p w:rsidR="002B0D7F" w:rsidRDefault="002B0D7F" w:rsidP="00472CA5">
      <w:pPr>
        <w:jc w:val="both"/>
        <w:rPr>
          <w:rFonts w:ascii="Sylfaen" w:hAnsi="Sylfaen"/>
          <w:lang w:val="ka-GE"/>
        </w:rPr>
      </w:pPr>
      <w:r>
        <w:rPr>
          <w:rFonts w:ascii="Sylfaen" w:hAnsi="Sylfaen"/>
          <w:lang w:val="ka-GE"/>
        </w:rPr>
        <w:t>საყოველთაო ჯანდაცვის პროგრამის ფარგლებში ინფექციური დაავადებების შემთხვევების ანაზღაურება შესაძლებელია:</w:t>
      </w:r>
    </w:p>
    <w:p w:rsidR="002B0D7F" w:rsidRDefault="002B0D7F" w:rsidP="002B0D7F">
      <w:pPr>
        <w:pStyle w:val="ListParagraph"/>
        <w:numPr>
          <w:ilvl w:val="0"/>
          <w:numId w:val="1"/>
        </w:numPr>
        <w:jc w:val="both"/>
        <w:rPr>
          <w:rFonts w:ascii="Sylfaen" w:hAnsi="Sylfaen"/>
          <w:lang w:val="ka-GE"/>
        </w:rPr>
      </w:pPr>
      <w:r>
        <w:rPr>
          <w:rFonts w:ascii="Sylfaen" w:hAnsi="Sylfaen"/>
          <w:lang w:val="ka-GE"/>
        </w:rPr>
        <w:t>კრიტიკული მდგომარეობების დროს</w:t>
      </w:r>
    </w:p>
    <w:p w:rsidR="002B0D7F" w:rsidRDefault="002B0D7F" w:rsidP="002B0D7F">
      <w:pPr>
        <w:pStyle w:val="ListParagraph"/>
        <w:numPr>
          <w:ilvl w:val="0"/>
          <w:numId w:val="1"/>
        </w:numPr>
        <w:jc w:val="both"/>
        <w:rPr>
          <w:rFonts w:ascii="Sylfaen" w:hAnsi="Sylfaen"/>
          <w:lang w:val="ka-GE"/>
        </w:rPr>
      </w:pPr>
      <w:r>
        <w:rPr>
          <w:rFonts w:ascii="Sylfaen" w:hAnsi="Sylfaen"/>
          <w:lang w:val="ka-GE"/>
        </w:rPr>
        <w:t xml:space="preserve">სხვა გადაუდებელი მდგომარეობების დროს. მათ შორის: </w:t>
      </w:r>
    </w:p>
    <w:p w:rsidR="002B0D7F" w:rsidRDefault="002B0D7F" w:rsidP="002B0D7F">
      <w:pPr>
        <w:pStyle w:val="ListParagraph"/>
        <w:jc w:val="both"/>
        <w:rPr>
          <w:rFonts w:ascii="Sylfaen" w:hAnsi="Sylfaen"/>
          <w:lang w:val="ka-GE"/>
        </w:rPr>
      </w:pPr>
      <w:r>
        <w:rPr>
          <w:rFonts w:ascii="Sylfaen" w:hAnsi="Sylfaen"/>
          <w:lang w:val="ka-GE"/>
        </w:rPr>
        <w:t>ა) 36-ს ბენეფიციარებისათვის და ვეტერანებისათვის ანაზღაურდება მხოლოდ ,,გადაუდებელი მდგომარეობები“.</w:t>
      </w:r>
    </w:p>
    <w:p w:rsidR="002B0D7F" w:rsidRPr="002B0D7F" w:rsidRDefault="002B0D7F" w:rsidP="002B0D7F">
      <w:pPr>
        <w:pStyle w:val="ListParagraph"/>
        <w:jc w:val="both"/>
        <w:rPr>
          <w:rFonts w:ascii="Sylfaen" w:hAnsi="Sylfaen"/>
          <w:lang w:val="ka-GE"/>
        </w:rPr>
      </w:pPr>
      <w:r>
        <w:rPr>
          <w:rFonts w:ascii="Sylfaen" w:hAnsi="Sylfaen"/>
          <w:lang w:val="ka-GE"/>
        </w:rPr>
        <w:t xml:space="preserve">ბ) </w:t>
      </w:r>
      <w:r>
        <w:rPr>
          <w:rFonts w:ascii="Sylfaen" w:hAnsi="Sylfaen"/>
          <w:lang w:val="ka-GE"/>
        </w:rPr>
        <w:t>218 და 165 დადგენილების ბენეფიციარებისათვის</w:t>
      </w:r>
      <w:r>
        <w:rPr>
          <w:rFonts w:ascii="Sylfaen" w:hAnsi="Sylfaen"/>
          <w:lang w:val="ka-GE"/>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გადაუდებელი</w:t>
      </w:r>
      <w:proofErr w:type="spellEnd"/>
      <w:r>
        <w:rPr>
          <w:rFonts w:ascii="Sylfaen" w:eastAsia="Sylfaen" w:hAnsi="Sylfaen"/>
        </w:rPr>
        <w:t xml:space="preserve"> </w:t>
      </w:r>
      <w:proofErr w:type="spellStart"/>
      <w:r>
        <w:rPr>
          <w:rFonts w:ascii="Sylfaen" w:eastAsia="Sylfaen" w:hAnsi="Sylfaen"/>
        </w:rPr>
        <w:t>მდგომარეობები</w:t>
      </w:r>
      <w:proofErr w:type="spellEnd"/>
      <w:r>
        <w:rPr>
          <w:rFonts w:ascii="Sylfaen" w:eastAsia="Sylfaen" w:hAnsi="Sylfaen"/>
        </w:rPr>
        <w:t xml:space="preserve">, </w:t>
      </w:r>
      <w:proofErr w:type="spellStart"/>
      <w:r>
        <w:rPr>
          <w:rFonts w:ascii="Sylfaen" w:eastAsia="Sylfaen" w:hAnsi="Sylfaen"/>
        </w:rPr>
        <w:t>მათ</w:t>
      </w:r>
      <w:proofErr w:type="spellEnd"/>
      <w:r>
        <w:rPr>
          <w:rFonts w:ascii="Sylfaen" w:eastAsia="Sylfaen" w:hAnsi="Sylfaen"/>
        </w:rPr>
        <w:t xml:space="preserve"> </w:t>
      </w:r>
      <w:proofErr w:type="spellStart"/>
      <w:r>
        <w:rPr>
          <w:rFonts w:ascii="Sylfaen" w:eastAsia="Sylfaen" w:hAnsi="Sylfaen"/>
        </w:rPr>
        <w:t>შორის</w:t>
      </w:r>
      <w:proofErr w:type="spellEnd"/>
      <w:r>
        <w:rPr>
          <w:rFonts w:ascii="Sylfaen" w:eastAsia="Sylfaen" w:hAnsi="Sylfaen"/>
        </w:rPr>
        <w:t xml:space="preserve">, </w:t>
      </w:r>
      <w:proofErr w:type="spellStart"/>
      <w:r>
        <w:rPr>
          <w:rFonts w:ascii="Sylfaen" w:eastAsia="Sylfaen" w:hAnsi="Sylfaen"/>
        </w:rPr>
        <w:t>ინფექციურ</w:t>
      </w:r>
      <w:proofErr w:type="spellEnd"/>
      <w:r>
        <w:rPr>
          <w:rFonts w:ascii="Sylfaen" w:eastAsia="Sylfaen" w:hAnsi="Sylfaen"/>
        </w:rPr>
        <w:t xml:space="preserve"> </w:t>
      </w:r>
      <w:proofErr w:type="spellStart"/>
      <w:r>
        <w:rPr>
          <w:rFonts w:ascii="Sylfaen" w:eastAsia="Sylfaen" w:hAnsi="Sylfaen"/>
        </w:rPr>
        <w:t>დაავადებებთან</w:t>
      </w:r>
      <w:proofErr w:type="spellEnd"/>
      <w:r>
        <w:rPr>
          <w:rFonts w:ascii="Sylfaen" w:eastAsia="Sylfaen" w:hAnsi="Sylfaen"/>
        </w:rPr>
        <w:t xml:space="preserve"> </w:t>
      </w:r>
      <w:r>
        <w:rPr>
          <w:rFonts w:ascii="Sylfaen" w:eastAsia="Sylfaen" w:hAnsi="Sylfaen"/>
          <w:lang w:val="ka-GE"/>
        </w:rPr>
        <w:t xml:space="preserve">.... </w:t>
      </w:r>
      <w:proofErr w:type="spellStart"/>
      <w:proofErr w:type="gramStart"/>
      <w:r>
        <w:rPr>
          <w:rFonts w:ascii="Sylfaen" w:eastAsia="Sylfaen" w:hAnsi="Sylfaen"/>
        </w:rPr>
        <w:t>დაკავშირებული</w:t>
      </w:r>
      <w:proofErr w:type="spellEnd"/>
      <w:proofErr w:type="gramEnd"/>
      <w:r>
        <w:rPr>
          <w:rFonts w:ascii="Sylfaen" w:eastAsia="Sylfaen" w:hAnsi="Sylfaen"/>
        </w:rPr>
        <w:t xml:space="preserve"> </w:t>
      </w:r>
      <w:proofErr w:type="spellStart"/>
      <w:r>
        <w:rPr>
          <w:rFonts w:ascii="Sylfaen" w:eastAsia="Sylfaen" w:hAnsi="Sylfaen"/>
        </w:rPr>
        <w:t>ჰოსპიტალიზაცია</w:t>
      </w:r>
      <w:proofErr w:type="spellEnd"/>
      <w:r>
        <w:rPr>
          <w:rFonts w:ascii="Sylfaen" w:eastAsia="Sylfaen" w:hAnsi="Sylfaen"/>
          <w:lang w:val="ka-GE"/>
        </w:rPr>
        <w:t>“.</w:t>
      </w:r>
    </w:p>
    <w:p w:rsidR="002B0D7F" w:rsidRDefault="002B0D7F" w:rsidP="00472CA5">
      <w:pPr>
        <w:jc w:val="both"/>
        <w:rPr>
          <w:rFonts w:ascii="Sylfaen" w:hAnsi="Sylfaen"/>
          <w:lang w:val="ka-GE"/>
        </w:rPr>
      </w:pPr>
    </w:p>
    <w:p w:rsidR="002B0D7F" w:rsidRDefault="002B0D7F" w:rsidP="00472CA5">
      <w:pPr>
        <w:jc w:val="both"/>
        <w:rPr>
          <w:rFonts w:ascii="Sylfaen" w:hAnsi="Sylfaen"/>
          <w:lang w:val="ka-GE"/>
        </w:rPr>
      </w:pPr>
    </w:p>
    <w:p w:rsidR="002B0D7F" w:rsidRDefault="002B0D7F" w:rsidP="002B0D7F">
      <w:pPr>
        <w:spacing w:line="20" w:lineRule="atLeast"/>
        <w:ind w:firstLine="720"/>
        <w:jc w:val="both"/>
        <w:rPr>
          <w:rFonts w:ascii="Sylfaen" w:eastAsia="Sylfaen" w:hAnsi="Sylfaen"/>
          <w:lang w:val="ka-GE"/>
        </w:rPr>
      </w:pPr>
      <w:r>
        <w:rPr>
          <w:rFonts w:ascii="Sylfaen" w:eastAsia="Sylfaen" w:hAnsi="Sylfaen"/>
          <w:lang w:val="ka-GE"/>
        </w:rPr>
        <w:t xml:space="preserve">ამასთან, </w:t>
      </w:r>
    </w:p>
    <w:p w:rsidR="002B0D7F" w:rsidRDefault="002B0D7F" w:rsidP="002B0D7F">
      <w:pPr>
        <w:spacing w:line="20" w:lineRule="atLeast"/>
        <w:ind w:firstLine="720"/>
        <w:jc w:val="both"/>
        <w:rPr>
          <w:rFonts w:ascii="Sylfaen" w:eastAsia="Sylfaen" w:hAnsi="Sylfaen"/>
          <w:lang w:val="ka-GE"/>
        </w:rPr>
      </w:pPr>
    </w:p>
    <w:p w:rsidR="002B0D7F" w:rsidRDefault="002B0D7F" w:rsidP="002B0D7F">
      <w:pPr>
        <w:spacing w:line="20" w:lineRule="atLeast"/>
        <w:ind w:firstLine="720"/>
        <w:jc w:val="both"/>
        <w:rPr>
          <w:rFonts w:ascii="Sylfaen" w:eastAsia="Sylfaen" w:hAnsi="Sylfaen"/>
          <w:lang w:val="ka-GE"/>
        </w:rPr>
      </w:pPr>
      <w:r>
        <w:rPr>
          <w:rFonts w:ascii="Sylfaen" w:hAnsi="Sylfaen"/>
          <w:lang w:val="ka-GE"/>
        </w:rPr>
        <w:t xml:space="preserve">218 და 165 დადგენილების ბენეფიციარებისათვის </w:t>
      </w:r>
      <w:r>
        <w:rPr>
          <w:rFonts w:ascii="Sylfaen" w:hAnsi="Sylfaen"/>
          <w:lang w:val="ka-GE"/>
        </w:rPr>
        <w:t xml:space="preserve">,,... </w:t>
      </w:r>
      <w:proofErr w:type="spellStart"/>
      <w:r>
        <w:rPr>
          <w:rFonts w:ascii="Sylfaen" w:eastAsia="Sylfaen" w:hAnsi="Sylfaen"/>
        </w:rPr>
        <w:t>განსაზღვრული</w:t>
      </w:r>
      <w:proofErr w:type="spellEnd"/>
      <w:r>
        <w:rPr>
          <w:rFonts w:ascii="Sylfaen" w:eastAsia="Sylfaen" w:hAnsi="Sylfaen"/>
        </w:rPr>
        <w:t xml:space="preserve"> </w:t>
      </w:r>
      <w:proofErr w:type="spellStart"/>
      <w:r>
        <w:rPr>
          <w:rFonts w:ascii="Sylfaen" w:eastAsia="Sylfaen" w:hAnsi="Sylfaen"/>
        </w:rPr>
        <w:t>გადაუდებელი</w:t>
      </w:r>
      <w:proofErr w:type="spellEnd"/>
      <w:r>
        <w:rPr>
          <w:rFonts w:ascii="Sylfaen" w:eastAsia="Sylfaen" w:hAnsi="Sylfaen"/>
        </w:rPr>
        <w:t xml:space="preserve"> </w:t>
      </w:r>
      <w:proofErr w:type="spellStart"/>
      <w:r>
        <w:rPr>
          <w:rFonts w:ascii="Sylfaen" w:eastAsia="Sylfaen" w:hAnsi="Sylfaen"/>
        </w:rPr>
        <w:t>სტაციონარული</w:t>
      </w:r>
      <w:proofErr w:type="spellEnd"/>
      <w:r>
        <w:rPr>
          <w:rFonts w:ascii="Sylfaen" w:eastAsia="Sylfaen" w:hAnsi="Sylfaen"/>
        </w:rPr>
        <w:t xml:space="preserve"> </w:t>
      </w:r>
      <w:proofErr w:type="spellStart"/>
      <w:r>
        <w:rPr>
          <w:rFonts w:ascii="Sylfaen" w:eastAsia="Sylfaen" w:hAnsi="Sylfaen"/>
        </w:rPr>
        <w:t>მომსახურების</w:t>
      </w:r>
      <w:proofErr w:type="spellEnd"/>
      <w:r>
        <w:rPr>
          <w:rFonts w:ascii="Sylfaen" w:eastAsia="Sylfaen" w:hAnsi="Sylfaen"/>
        </w:rPr>
        <w:t xml:space="preserve">, </w:t>
      </w:r>
      <w:proofErr w:type="spellStart"/>
      <w:r>
        <w:rPr>
          <w:rFonts w:ascii="Sylfaen" w:eastAsia="Sylfaen" w:hAnsi="Sylfaen"/>
        </w:rPr>
        <w:t>კერძოდ</w:t>
      </w:r>
      <w:proofErr w:type="spellEnd"/>
      <w:r>
        <w:rPr>
          <w:rFonts w:ascii="Sylfaen" w:eastAsia="Sylfaen" w:hAnsi="Sylfaen"/>
        </w:rPr>
        <w:t xml:space="preserve">, </w:t>
      </w:r>
      <w:proofErr w:type="spellStart"/>
      <w:r>
        <w:rPr>
          <w:rFonts w:ascii="Sylfaen" w:eastAsia="Sylfaen" w:hAnsi="Sylfaen"/>
        </w:rPr>
        <w:t>ინფექციურ</w:t>
      </w:r>
      <w:proofErr w:type="spellEnd"/>
      <w:r>
        <w:rPr>
          <w:rFonts w:ascii="Sylfaen" w:eastAsia="Sylfaen" w:hAnsi="Sylfaen"/>
        </w:rPr>
        <w:t xml:space="preserve"> </w:t>
      </w:r>
      <w:proofErr w:type="spellStart"/>
      <w:r>
        <w:rPr>
          <w:rFonts w:ascii="Sylfaen" w:eastAsia="Sylfaen" w:hAnsi="Sylfaen"/>
        </w:rPr>
        <w:t>დაავადებებთან</w:t>
      </w:r>
      <w:proofErr w:type="spellEnd"/>
      <w:r>
        <w:rPr>
          <w:rFonts w:ascii="Sylfaen" w:eastAsia="Sylfaen" w:hAnsi="Sylfaen"/>
        </w:rPr>
        <w:t xml:space="preserve">  </w:t>
      </w:r>
      <w:proofErr w:type="spellStart"/>
      <w:r>
        <w:rPr>
          <w:rFonts w:ascii="Sylfaen" w:eastAsia="Sylfaen" w:hAnsi="Sylfaen"/>
        </w:rPr>
        <w:t>დაკავშირებული</w:t>
      </w:r>
      <w:proofErr w:type="spellEnd"/>
      <w:r>
        <w:rPr>
          <w:rFonts w:ascii="Sylfaen" w:eastAsia="Sylfaen" w:hAnsi="Sylfaen"/>
        </w:rPr>
        <w:t xml:space="preserve"> </w:t>
      </w:r>
      <w:proofErr w:type="spellStart"/>
      <w:r>
        <w:rPr>
          <w:rFonts w:ascii="Sylfaen" w:eastAsia="Sylfaen" w:hAnsi="Sylfaen"/>
        </w:rPr>
        <w:t>ჰოსპიტალიზაციის</w:t>
      </w:r>
      <w:proofErr w:type="spellEnd"/>
      <w:r>
        <w:rPr>
          <w:rFonts w:ascii="Sylfaen" w:eastAsia="Sylfaen" w:hAnsi="Sylfaen"/>
        </w:rPr>
        <w:t xml:space="preserve">  </w:t>
      </w:r>
      <w:proofErr w:type="spellStart"/>
      <w:r>
        <w:rPr>
          <w:rFonts w:ascii="Sylfaen" w:eastAsia="Sylfaen" w:hAnsi="Sylfaen"/>
        </w:rPr>
        <w:t>ხარჯები</w:t>
      </w:r>
      <w:proofErr w:type="spellEnd"/>
      <w:r>
        <w:rPr>
          <w:rFonts w:ascii="Sylfaen" w:eastAsia="Sylfaen" w:hAnsi="Sylfaen"/>
        </w:rPr>
        <w:t xml:space="preserve"> (</w:t>
      </w:r>
      <w:proofErr w:type="spellStart"/>
      <w:r>
        <w:rPr>
          <w:rFonts w:ascii="Sylfaen" w:eastAsia="Sylfaen" w:hAnsi="Sylfaen"/>
        </w:rPr>
        <w:t>გარდა</w:t>
      </w:r>
      <w:proofErr w:type="spellEnd"/>
      <w:r>
        <w:rPr>
          <w:rFonts w:ascii="Sylfaen" w:eastAsia="Sylfaen" w:hAnsi="Sylfaen"/>
        </w:rPr>
        <w:t xml:space="preserve"> </w:t>
      </w:r>
      <w:proofErr w:type="spellStart"/>
      <w:r>
        <w:rPr>
          <w:rFonts w:ascii="Sylfaen" w:eastAsia="Sylfaen" w:hAnsi="Sylfaen"/>
        </w:rPr>
        <w:t>კრიტიკული</w:t>
      </w:r>
      <w:proofErr w:type="spellEnd"/>
      <w:r>
        <w:rPr>
          <w:rFonts w:ascii="Sylfaen" w:eastAsia="Sylfaen" w:hAnsi="Sylfaen"/>
        </w:rPr>
        <w:t xml:space="preserve"> </w:t>
      </w:r>
      <w:proofErr w:type="spellStart"/>
      <w:r>
        <w:rPr>
          <w:rFonts w:ascii="Sylfaen" w:eastAsia="Sylfaen" w:hAnsi="Sylfaen"/>
        </w:rPr>
        <w:t>მდგომარეობებისა</w:t>
      </w:r>
      <w:proofErr w:type="spellEnd"/>
      <w:r>
        <w:rPr>
          <w:rFonts w:ascii="Sylfaen" w:eastAsia="Sylfaen" w:hAnsi="Sylfaen"/>
        </w:rPr>
        <w:t xml:space="preserve">) </w:t>
      </w:r>
      <w:proofErr w:type="spellStart"/>
      <w:r>
        <w:rPr>
          <w:rFonts w:ascii="Sylfaen" w:eastAsia="Sylfaen" w:hAnsi="Sylfaen"/>
        </w:rPr>
        <w:t>იმ</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რომელიც</w:t>
      </w:r>
      <w:proofErr w:type="spellEnd"/>
      <w:r>
        <w:rPr>
          <w:rFonts w:ascii="Sylfaen" w:eastAsia="Sylfaen" w:hAnsi="Sylfaen"/>
        </w:rPr>
        <w:t xml:space="preserve"> </w:t>
      </w:r>
      <w:proofErr w:type="spellStart"/>
      <w:r>
        <w:rPr>
          <w:rFonts w:ascii="Sylfaen" w:eastAsia="Sylfaen" w:hAnsi="Sylfaen"/>
        </w:rPr>
        <w:t>არ</w:t>
      </w:r>
      <w:proofErr w:type="spellEnd"/>
      <w:r>
        <w:rPr>
          <w:rFonts w:ascii="Sylfaen" w:eastAsia="Sylfaen" w:hAnsi="Sylfaen"/>
        </w:rPr>
        <w:t xml:space="preserve"> </w:t>
      </w:r>
      <w:proofErr w:type="spellStart"/>
      <w:r>
        <w:rPr>
          <w:rFonts w:ascii="Sylfaen" w:eastAsia="Sylfaen" w:hAnsi="Sylfaen"/>
        </w:rPr>
        <w:t>მონაწილეობს</w:t>
      </w:r>
      <w:proofErr w:type="spellEnd"/>
      <w:r>
        <w:rPr>
          <w:rFonts w:ascii="Sylfaen" w:eastAsia="Sylfaen" w:hAnsi="Sylfaen"/>
        </w:rPr>
        <w:t xml:space="preserve"> „</w:t>
      </w:r>
      <w:proofErr w:type="spellStart"/>
      <w:r>
        <w:rPr>
          <w:rFonts w:ascii="Sylfaen" w:eastAsia="Sylfaen" w:hAnsi="Sylfaen"/>
        </w:rPr>
        <w:t>ინფექციური</w:t>
      </w:r>
      <w:proofErr w:type="spellEnd"/>
      <w:r>
        <w:rPr>
          <w:rFonts w:ascii="Sylfaen" w:eastAsia="Sylfaen" w:hAnsi="Sylfaen"/>
        </w:rPr>
        <w:t xml:space="preserve"> </w:t>
      </w:r>
      <w:proofErr w:type="spellStart"/>
      <w:r>
        <w:rPr>
          <w:rFonts w:ascii="Sylfaen" w:eastAsia="Sylfaen" w:hAnsi="Sylfaen"/>
        </w:rPr>
        <w:t>დაავადებების</w:t>
      </w:r>
      <w:proofErr w:type="spellEnd"/>
      <w:r>
        <w:rPr>
          <w:rFonts w:ascii="Sylfaen" w:eastAsia="Sylfaen" w:hAnsi="Sylfaen"/>
        </w:rPr>
        <w:t xml:space="preserve"> </w:t>
      </w:r>
      <w:proofErr w:type="spellStart"/>
      <w:r>
        <w:rPr>
          <w:rFonts w:ascii="Sylfaen" w:eastAsia="Sylfaen" w:hAnsi="Sylfaen"/>
        </w:rPr>
        <w:t>მართვის</w:t>
      </w:r>
      <w:proofErr w:type="spellEnd"/>
      <w:r>
        <w:rPr>
          <w:rFonts w:ascii="Sylfaen" w:eastAsia="Sylfaen" w:hAnsi="Sylfaen"/>
        </w:rPr>
        <w:t xml:space="preserve">“  </w:t>
      </w:r>
      <w:proofErr w:type="spellStart"/>
      <w:r>
        <w:rPr>
          <w:rFonts w:ascii="Sylfaen" w:eastAsia="Sylfaen" w:hAnsi="Sylfaen"/>
        </w:rPr>
        <w:t>სახელმწიფო</w:t>
      </w:r>
      <w:proofErr w:type="spellEnd"/>
      <w:r>
        <w:rPr>
          <w:rFonts w:ascii="Sylfaen" w:eastAsia="Sylfaen" w:hAnsi="Sylfaen"/>
        </w:rPr>
        <w:t xml:space="preserve"> </w:t>
      </w:r>
      <w:proofErr w:type="spellStart"/>
      <w:r>
        <w:rPr>
          <w:rFonts w:ascii="Sylfaen" w:eastAsia="Sylfaen" w:hAnsi="Sylfaen"/>
        </w:rPr>
        <w:t>პროგრამაში</w:t>
      </w:r>
      <w:proofErr w:type="spellEnd"/>
      <w:r>
        <w:rPr>
          <w:rFonts w:ascii="Sylfaen" w:eastAsia="Sylfaen" w:hAnsi="Sylfaen"/>
        </w:rPr>
        <w:t xml:space="preserve">, </w:t>
      </w:r>
      <w:proofErr w:type="spellStart"/>
      <w:r>
        <w:rPr>
          <w:rFonts w:ascii="Sylfaen" w:eastAsia="Sylfaen" w:hAnsi="Sylfaen"/>
        </w:rPr>
        <w:t>საყოველთაო</w:t>
      </w:r>
      <w:proofErr w:type="spellEnd"/>
      <w:r>
        <w:rPr>
          <w:rFonts w:ascii="Sylfaen" w:eastAsia="Sylfaen" w:hAnsi="Sylfaen"/>
        </w:rPr>
        <w:t xml:space="preserve"> </w:t>
      </w:r>
      <w:proofErr w:type="spellStart"/>
      <w:r>
        <w:rPr>
          <w:rFonts w:ascii="Sylfaen" w:eastAsia="Sylfaen" w:hAnsi="Sylfaen"/>
        </w:rPr>
        <w:t>ჯანმრთელობის</w:t>
      </w:r>
      <w:proofErr w:type="spellEnd"/>
      <w:r>
        <w:rPr>
          <w:rFonts w:ascii="Sylfaen" w:eastAsia="Sylfaen" w:hAnsi="Sylfaen"/>
        </w:rPr>
        <w:t xml:space="preserve"> </w:t>
      </w:r>
      <w:proofErr w:type="spellStart"/>
      <w:r>
        <w:rPr>
          <w:rFonts w:ascii="Sylfaen" w:eastAsia="Sylfaen" w:hAnsi="Sylfaen"/>
        </w:rPr>
        <w:t>დაცვის</w:t>
      </w:r>
      <w:proofErr w:type="spellEnd"/>
      <w:r>
        <w:rPr>
          <w:rFonts w:ascii="Sylfaen" w:eastAsia="Sylfaen" w:hAnsi="Sylfaen"/>
        </w:rPr>
        <w:t xml:space="preserve"> </w:t>
      </w:r>
      <w:proofErr w:type="spellStart"/>
      <w:r>
        <w:rPr>
          <w:rFonts w:ascii="Sylfaen" w:eastAsia="Sylfaen" w:hAnsi="Sylfaen"/>
        </w:rPr>
        <w:t>სახელმწიფო</w:t>
      </w:r>
      <w:proofErr w:type="spellEnd"/>
      <w:r>
        <w:rPr>
          <w:rFonts w:ascii="Sylfaen" w:eastAsia="Sylfaen" w:hAnsi="Sylfaen"/>
        </w:rPr>
        <w:t xml:space="preserve"> </w:t>
      </w:r>
      <w:proofErr w:type="spellStart"/>
      <w:r>
        <w:rPr>
          <w:rFonts w:ascii="Sylfaen" w:eastAsia="Sylfaen" w:hAnsi="Sylfaen"/>
        </w:rPr>
        <w:t>პროგრამის</w:t>
      </w:r>
      <w:proofErr w:type="spellEnd"/>
      <w:r>
        <w:rPr>
          <w:rFonts w:ascii="Sylfaen" w:eastAsia="Sylfaen" w:hAnsi="Sylfaen"/>
        </w:rPr>
        <w:t xml:space="preserve"> </w:t>
      </w:r>
      <w:proofErr w:type="spellStart"/>
      <w:r>
        <w:rPr>
          <w:rFonts w:ascii="Sylfaen" w:eastAsia="Sylfaen" w:hAnsi="Sylfaen"/>
        </w:rPr>
        <w:t>ფარგლებში</w:t>
      </w:r>
      <w:proofErr w:type="spellEnd"/>
      <w:r>
        <w:rPr>
          <w:rFonts w:ascii="Sylfaen" w:eastAsia="Sylfaen" w:hAnsi="Sylfaen"/>
        </w:rPr>
        <w:t xml:space="preserve">, </w:t>
      </w:r>
      <w:proofErr w:type="spellStart"/>
      <w:r>
        <w:rPr>
          <w:rFonts w:ascii="Sylfaen" w:eastAsia="Sylfaen" w:hAnsi="Sylfaen"/>
        </w:rPr>
        <w:t>ანაზღაურდება</w:t>
      </w:r>
      <w:proofErr w:type="spellEnd"/>
      <w:r>
        <w:rPr>
          <w:rFonts w:ascii="Sylfaen" w:eastAsia="Sylfaen" w:hAnsi="Sylfaen"/>
        </w:rPr>
        <w:t xml:space="preserve"> </w:t>
      </w:r>
      <w:proofErr w:type="spellStart"/>
      <w:r>
        <w:rPr>
          <w:rFonts w:ascii="Sylfaen" w:eastAsia="Sylfaen" w:hAnsi="Sylfaen"/>
        </w:rPr>
        <w:t>ფაქტიური</w:t>
      </w:r>
      <w:proofErr w:type="spellEnd"/>
      <w:r>
        <w:rPr>
          <w:rFonts w:ascii="Sylfaen" w:eastAsia="Sylfaen" w:hAnsi="Sylfaen"/>
        </w:rPr>
        <w:t xml:space="preserve"> </w:t>
      </w:r>
      <w:proofErr w:type="spellStart"/>
      <w:r>
        <w:rPr>
          <w:rFonts w:ascii="Sylfaen" w:eastAsia="Sylfaen" w:hAnsi="Sylfaen"/>
        </w:rPr>
        <w:t>ხარჯის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 xml:space="preserve">, </w:t>
      </w:r>
      <w:proofErr w:type="spellStart"/>
      <w:r>
        <w:rPr>
          <w:rFonts w:ascii="Sylfaen" w:eastAsia="Sylfaen" w:hAnsi="Sylfaen"/>
        </w:rPr>
        <w:t>მაგრამ</w:t>
      </w:r>
      <w:proofErr w:type="spellEnd"/>
      <w:r>
        <w:rPr>
          <w:rFonts w:ascii="Sylfaen" w:eastAsia="Sylfaen" w:hAnsi="Sylfaen"/>
        </w:rPr>
        <w:t xml:space="preserve"> </w:t>
      </w:r>
      <w:proofErr w:type="spellStart"/>
      <w:r>
        <w:rPr>
          <w:rFonts w:ascii="Sylfaen" w:eastAsia="Sylfaen" w:hAnsi="Sylfaen"/>
        </w:rPr>
        <w:t>არა</w:t>
      </w:r>
      <w:proofErr w:type="spellEnd"/>
      <w:r>
        <w:rPr>
          <w:rFonts w:ascii="Sylfaen" w:eastAsia="Sylfaen" w:hAnsi="Sylfaen"/>
        </w:rPr>
        <w:t xml:space="preserve"> </w:t>
      </w:r>
      <w:proofErr w:type="spellStart"/>
      <w:r>
        <w:rPr>
          <w:rFonts w:ascii="Sylfaen" w:eastAsia="Sylfaen" w:hAnsi="Sylfaen"/>
        </w:rPr>
        <w:t>უმეტეს</w:t>
      </w:r>
      <w:proofErr w:type="spellEnd"/>
      <w:r>
        <w:rPr>
          <w:rFonts w:ascii="Sylfaen" w:eastAsia="Sylfaen" w:hAnsi="Sylfaen"/>
        </w:rPr>
        <w:t xml:space="preserve"> </w:t>
      </w:r>
      <w:proofErr w:type="spellStart"/>
      <w:r>
        <w:rPr>
          <w:rFonts w:ascii="Sylfaen" w:eastAsia="Sylfaen" w:hAnsi="Sylfaen"/>
        </w:rPr>
        <w:t>შესაბამის</w:t>
      </w:r>
      <w:proofErr w:type="spellEnd"/>
      <w:r>
        <w:rPr>
          <w:rFonts w:ascii="Sylfaen" w:eastAsia="Sylfaen" w:hAnsi="Sylfaen"/>
        </w:rPr>
        <w:t xml:space="preserve"> </w:t>
      </w:r>
      <w:proofErr w:type="spellStart"/>
      <w:r>
        <w:rPr>
          <w:rFonts w:ascii="Sylfaen" w:eastAsia="Sylfaen" w:hAnsi="Sylfaen"/>
        </w:rPr>
        <w:t>ჯანდაცვის</w:t>
      </w:r>
      <w:proofErr w:type="spellEnd"/>
      <w:r>
        <w:rPr>
          <w:rFonts w:ascii="Sylfaen" w:eastAsia="Sylfaen" w:hAnsi="Sylfaen"/>
        </w:rPr>
        <w:t xml:space="preserve"> </w:t>
      </w:r>
      <w:proofErr w:type="spellStart"/>
      <w:r>
        <w:rPr>
          <w:rFonts w:ascii="Sylfaen" w:eastAsia="Sylfaen" w:hAnsi="Sylfaen"/>
        </w:rPr>
        <w:t>სახელმწიფო</w:t>
      </w:r>
      <w:proofErr w:type="spellEnd"/>
      <w:r>
        <w:rPr>
          <w:rFonts w:ascii="Sylfaen" w:eastAsia="Sylfaen" w:hAnsi="Sylfaen"/>
        </w:rPr>
        <w:t xml:space="preserve"> </w:t>
      </w:r>
      <w:proofErr w:type="spellStart"/>
      <w:r>
        <w:rPr>
          <w:rFonts w:ascii="Sylfaen" w:eastAsia="Sylfaen" w:hAnsi="Sylfaen"/>
        </w:rPr>
        <w:t>პროგრამაში</w:t>
      </w:r>
      <w:proofErr w:type="spellEnd"/>
      <w:r>
        <w:rPr>
          <w:rFonts w:ascii="Sylfaen" w:eastAsia="Sylfaen" w:hAnsi="Sylfaen"/>
        </w:rPr>
        <w:t xml:space="preserve"> </w:t>
      </w:r>
      <w:proofErr w:type="spellStart"/>
      <w:r>
        <w:rPr>
          <w:rFonts w:ascii="Sylfaen" w:eastAsia="Sylfaen" w:hAnsi="Sylfaen"/>
        </w:rPr>
        <w:t>არსებული</w:t>
      </w:r>
      <w:proofErr w:type="spellEnd"/>
      <w:r>
        <w:rPr>
          <w:rFonts w:ascii="Sylfaen" w:eastAsia="Sylfaen" w:hAnsi="Sylfaen"/>
        </w:rPr>
        <w:t xml:space="preserve"> </w:t>
      </w:r>
      <w:proofErr w:type="spellStart"/>
      <w:r>
        <w:rPr>
          <w:rFonts w:ascii="Sylfaen" w:eastAsia="Sylfaen" w:hAnsi="Sylfaen"/>
        </w:rPr>
        <w:t>ტარიფებისა</w:t>
      </w:r>
      <w:proofErr w:type="spellEnd"/>
      <w:r>
        <w:rPr>
          <w:rFonts w:ascii="Sylfaen" w:eastAsia="Sylfaen" w:hAnsi="Sylfaen"/>
        </w:rPr>
        <w:t>.</w:t>
      </w:r>
      <w:r>
        <w:rPr>
          <w:rFonts w:ascii="Sylfaen" w:eastAsia="Sylfaen" w:hAnsi="Sylfaen"/>
          <w:lang w:val="ka-GE"/>
        </w:rPr>
        <w:t>“</w:t>
      </w:r>
    </w:p>
    <w:p w:rsidR="002B0D7F" w:rsidRDefault="002B0D7F" w:rsidP="002B0D7F">
      <w:pPr>
        <w:spacing w:line="20" w:lineRule="atLeast"/>
        <w:ind w:firstLine="720"/>
        <w:jc w:val="both"/>
        <w:rPr>
          <w:rFonts w:ascii="Sylfaen" w:eastAsia="Sylfaen" w:hAnsi="Sylfaen"/>
          <w:lang w:val="ka-GE"/>
        </w:rPr>
      </w:pPr>
    </w:p>
    <w:p w:rsidR="002B0D7F" w:rsidRPr="002B0D7F" w:rsidRDefault="002B0D7F" w:rsidP="002B0D7F">
      <w:pPr>
        <w:spacing w:line="20" w:lineRule="atLeast"/>
        <w:ind w:firstLine="720"/>
        <w:jc w:val="both"/>
        <w:rPr>
          <w:rFonts w:ascii="Sylfaen" w:eastAsia="Sylfaen" w:hAnsi="Sylfaen"/>
          <w:lang w:val="ka-GE"/>
        </w:rPr>
      </w:pPr>
      <w:r>
        <w:rPr>
          <w:rFonts w:ascii="Sylfaen" w:eastAsia="Sylfaen" w:hAnsi="Sylfaen"/>
          <w:lang w:val="ka-GE"/>
        </w:rPr>
        <w:t xml:space="preserve">შესაბამისად, </w:t>
      </w:r>
    </w:p>
    <w:p w:rsidR="002B0D7F" w:rsidRDefault="002B0D7F" w:rsidP="00472CA5">
      <w:pPr>
        <w:jc w:val="both"/>
        <w:rPr>
          <w:rFonts w:ascii="Sylfaen" w:hAnsi="Sylfaen"/>
          <w:lang w:val="ka-GE"/>
        </w:rPr>
      </w:pPr>
    </w:p>
    <w:p w:rsidR="00C90315" w:rsidRDefault="002B0D7F" w:rsidP="00472CA5">
      <w:pPr>
        <w:jc w:val="both"/>
        <w:rPr>
          <w:rFonts w:ascii="Sylfaen" w:hAnsi="Sylfaen"/>
          <w:lang w:val="ka-GE"/>
        </w:rPr>
      </w:pPr>
      <w:r>
        <w:rPr>
          <w:rFonts w:ascii="Sylfaen" w:hAnsi="Sylfaen"/>
          <w:lang w:val="ka-GE"/>
        </w:rPr>
        <w:t xml:space="preserve">ინფექციური დაავადებების მართვის სახელმწიფო პროგრამიდან ქრონიკული ვირუსული ჰეპატიტების კოდიდან </w:t>
      </w:r>
      <w:proofErr w:type="spellStart"/>
      <w:r>
        <w:rPr>
          <w:rFonts w:ascii="Sylfaen" w:hAnsi="Sylfaen"/>
        </w:rPr>
        <w:t>svr</w:t>
      </w:r>
      <w:proofErr w:type="spellEnd"/>
      <w:r>
        <w:rPr>
          <w:rFonts w:ascii="Sylfaen" w:hAnsi="Sylfaen"/>
        </w:rPr>
        <w:t>-</w:t>
      </w:r>
      <w:r>
        <w:rPr>
          <w:rFonts w:ascii="Sylfaen" w:hAnsi="Sylfaen"/>
          <w:lang w:val="ka-GE"/>
        </w:rPr>
        <w:t>თან</w:t>
      </w:r>
      <w:r>
        <w:rPr>
          <w:rFonts w:ascii="Sylfaen" w:hAnsi="Sylfaen"/>
          <w:lang w:val="ka-GE"/>
        </w:rPr>
        <w:t xml:space="preserve"> დაკავშირებული ჩანაწერის ამოღების შემთხვევაში, პროგრამული სამედიცინო მომსახურების მიღმა რჩებიან </w:t>
      </w:r>
      <w:r w:rsidR="00931F46">
        <w:rPr>
          <w:rFonts w:ascii="Sylfaen" w:hAnsi="Sylfaen"/>
          <w:lang w:val="ka-GE"/>
        </w:rPr>
        <w:t xml:space="preserve">C ჰეპატიტის პროგრამაში მკურნალობაზე მყოფი პაციენტები, რომელთაც გაუქრებათ ვირუსი, მაგრამ </w:t>
      </w:r>
      <w:r w:rsidR="00931F46">
        <w:rPr>
          <w:rFonts w:ascii="Sylfaen" w:hAnsi="Sylfaen"/>
          <w:lang w:val="ka-GE"/>
        </w:rPr>
        <w:t>უნარჩუნდებათ</w:t>
      </w:r>
      <w:r w:rsidR="00931F46">
        <w:rPr>
          <w:rFonts w:ascii="Sylfaen" w:hAnsi="Sylfaen"/>
          <w:lang w:val="ka-GE"/>
        </w:rPr>
        <w:t xml:space="preserve"> ციროზი, ასციტი და/ან C </w:t>
      </w:r>
      <w:r w:rsidR="00931F46">
        <w:rPr>
          <w:rFonts w:ascii="Sylfaen" w:hAnsi="Sylfaen"/>
          <w:lang w:val="ka-GE"/>
        </w:rPr>
        <w:t xml:space="preserve">ჰეპატიტით გამოწვეული </w:t>
      </w:r>
      <w:r w:rsidR="00931F46">
        <w:rPr>
          <w:rFonts w:ascii="Sylfaen" w:hAnsi="Sylfaen"/>
          <w:lang w:val="ka-GE"/>
        </w:rPr>
        <w:t>სხვა გართულებები</w:t>
      </w:r>
      <w:r w:rsidR="00931F46">
        <w:rPr>
          <w:rFonts w:ascii="Sylfaen" w:hAnsi="Sylfaen"/>
          <w:lang w:val="ka-GE"/>
        </w:rPr>
        <w:t>.</w:t>
      </w:r>
      <w:r>
        <w:rPr>
          <w:rFonts w:ascii="Sylfaen" w:hAnsi="Sylfaen"/>
          <w:lang w:val="ka-GE"/>
        </w:rPr>
        <w:t xml:space="preserve"> </w:t>
      </w:r>
      <w:r w:rsidR="00931F46">
        <w:rPr>
          <w:rFonts w:ascii="Sylfaen" w:hAnsi="Sylfaen"/>
          <w:lang w:val="ka-GE"/>
        </w:rPr>
        <w:t>საყოველთაო ჯანდაცვის პროგრამაში ასეთი შემთხვევების გატარება შესაძლებელი იქნება მხოლოდ კრიტიკული მდგომარეობების შემთხვევაში, ან 218 და 165 ბენეფიციარებისათვის გადაუდებელი კოდებით მხოლოდ არა ინფექციური პროგრამის მიმწოდებელ დაწესებულებაში (რაც გამორიცხავს ინფექციური პათოლოგიის, შიდსისა და კლინიკური იმუნოლოგიის ცენტრის, ბათუმის, ქუთაისის ინფექციური საავადმყოფოები და სხვ. მიერ სერვისის მიწოდების შესაძლებლობას).</w:t>
      </w:r>
    </w:p>
    <w:p w:rsidR="002B0D7F" w:rsidRDefault="002B0D7F" w:rsidP="00472CA5">
      <w:pPr>
        <w:jc w:val="both"/>
        <w:rPr>
          <w:rFonts w:ascii="Sylfaen" w:hAnsi="Sylfaen"/>
          <w:lang w:val="ka-GE"/>
        </w:rPr>
      </w:pPr>
    </w:p>
    <w:p w:rsidR="009C462A" w:rsidRDefault="009C462A" w:rsidP="00472CA5">
      <w:pPr>
        <w:jc w:val="both"/>
        <w:rPr>
          <w:rFonts w:ascii="Sylfaen" w:hAnsi="Sylfaen"/>
          <w:lang w:val="ka-GE"/>
        </w:rPr>
      </w:pPr>
    </w:p>
    <w:p w:rsidR="009C462A" w:rsidRDefault="00931F46" w:rsidP="00472CA5">
      <w:pPr>
        <w:jc w:val="both"/>
        <w:rPr>
          <w:rFonts w:ascii="Sylfaen" w:hAnsi="Sylfaen"/>
          <w:lang w:val="ka-GE"/>
        </w:rPr>
      </w:pPr>
      <w:r>
        <w:rPr>
          <w:rFonts w:ascii="Sylfaen" w:hAnsi="Sylfaen"/>
          <w:lang w:val="ka-GE"/>
        </w:rPr>
        <w:t xml:space="preserve">ზემოაღნიშნულის გათვალისწინებით, </w:t>
      </w:r>
      <w:r w:rsidR="00472CA5">
        <w:rPr>
          <w:rFonts w:ascii="Sylfaen" w:hAnsi="Sylfaen"/>
          <w:lang w:val="ka-GE"/>
        </w:rPr>
        <w:t>ინფექციონისტთა</w:t>
      </w:r>
      <w:r w:rsidR="00472CA5">
        <w:rPr>
          <w:rFonts w:ascii="Sylfaen" w:hAnsi="Sylfaen"/>
          <w:lang w:val="ka-GE"/>
        </w:rPr>
        <w:t xml:space="preserve"> მოსაზრებით, </w:t>
      </w:r>
      <w:r>
        <w:rPr>
          <w:rFonts w:ascii="Sylfaen" w:hAnsi="Sylfaen"/>
          <w:lang w:val="ka-GE"/>
        </w:rPr>
        <w:t xml:space="preserve">ინფექციური დაავადებების მართვის სახელმწიფო პროგრამში </w:t>
      </w:r>
      <w:r w:rsidR="00472CA5">
        <w:rPr>
          <w:rFonts w:ascii="Sylfaen" w:hAnsi="Sylfaen"/>
          <w:lang w:val="ka-GE"/>
        </w:rPr>
        <w:t xml:space="preserve">ქრონიკული ვირუსული ჰეპატიტების სამი კოდიდან, 2 შემთხვევაში უნდა დაემატოს ჩანაწერი </w:t>
      </w:r>
      <w:proofErr w:type="spellStart"/>
      <w:r>
        <w:rPr>
          <w:rFonts w:ascii="Sylfaen" w:hAnsi="Sylfaen"/>
        </w:rPr>
        <w:t>svr</w:t>
      </w:r>
      <w:proofErr w:type="spellEnd"/>
      <w:r>
        <w:rPr>
          <w:rFonts w:ascii="Sylfaen" w:hAnsi="Sylfaen"/>
        </w:rPr>
        <w:t>-</w:t>
      </w:r>
      <w:r>
        <w:rPr>
          <w:rFonts w:ascii="Sylfaen" w:hAnsi="Sylfaen"/>
          <w:lang w:val="ka-GE"/>
        </w:rPr>
        <w:t xml:space="preserve">თან </w:t>
      </w:r>
      <w:r w:rsidR="00472CA5">
        <w:rPr>
          <w:rFonts w:ascii="Sylfaen" w:hAnsi="Sylfaen"/>
          <w:lang w:val="ka-GE"/>
        </w:rPr>
        <w:t>დაკავშირებით და ჩამოყალიბდეს შემდეგი სახით:</w:t>
      </w:r>
    </w:p>
    <w:p w:rsidR="009C462A" w:rsidRDefault="009C462A">
      <w:pPr>
        <w:spacing w:after="200" w:line="276" w:lineRule="auto"/>
        <w:rPr>
          <w:rFonts w:ascii="Sylfaen" w:hAnsi="Sylfaen"/>
          <w:lang w:val="ka-GE"/>
        </w:rPr>
      </w:pPr>
      <w:r>
        <w:rPr>
          <w:rFonts w:ascii="Sylfaen" w:hAnsi="Sylfaen"/>
          <w:lang w:val="ka-GE"/>
        </w:rPr>
        <w:br w:type="page"/>
      </w:r>
    </w:p>
    <w:p w:rsidR="00472CA5" w:rsidRDefault="00472CA5" w:rsidP="00472CA5">
      <w:pPr>
        <w:jc w:val="both"/>
        <w:rPr>
          <w:rFonts w:ascii="Sylfaen" w:hAnsi="Sylfaen"/>
          <w:lang w:val="ka-GE"/>
        </w:rPr>
      </w:pPr>
      <w:bookmarkStart w:id="0" w:name="_GoBack"/>
      <w:bookmarkEnd w:id="0"/>
    </w:p>
    <w:p w:rsidR="00472CA5" w:rsidRDefault="00472CA5" w:rsidP="00472CA5">
      <w:pPr>
        <w:rPr>
          <w:rFonts w:ascii="Sylfaen" w:hAnsi="Sylfaen"/>
          <w:lang w:val="ka-GE"/>
        </w:rPr>
      </w:pPr>
    </w:p>
    <w:tbl>
      <w:tblPr>
        <w:tblW w:w="0" w:type="auto"/>
        <w:tblInd w:w="150" w:type="dxa"/>
        <w:tblCellMar>
          <w:left w:w="0" w:type="dxa"/>
          <w:right w:w="0" w:type="dxa"/>
        </w:tblCellMar>
        <w:tblLook w:val="04A0" w:firstRow="1" w:lastRow="0" w:firstColumn="1" w:lastColumn="0" w:noHBand="0" w:noVBand="1"/>
      </w:tblPr>
      <w:tblGrid>
        <w:gridCol w:w="409"/>
        <w:gridCol w:w="5812"/>
        <w:gridCol w:w="2284"/>
        <w:gridCol w:w="709"/>
      </w:tblGrid>
      <w:tr w:rsidR="00472CA5" w:rsidTr="00472CA5">
        <w:trPr>
          <w:trHeight w:val="329"/>
        </w:trPr>
        <w:tc>
          <w:tcPr>
            <w:tcW w:w="409" w:type="dxa"/>
            <w:tcBorders>
              <w:top w:val="single" w:sz="8" w:space="0" w:color="auto"/>
              <w:left w:val="single" w:sz="8" w:space="0" w:color="auto"/>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1.7</w:t>
            </w:r>
          </w:p>
        </w:tc>
        <w:tc>
          <w:tcPr>
            <w:tcW w:w="5812" w:type="dxa"/>
            <w:tcBorders>
              <w:top w:val="single" w:sz="8" w:space="0" w:color="auto"/>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proofErr w:type="spellStart"/>
            <w:r>
              <w:rPr>
                <w:rFonts w:ascii="Sylfaen" w:hAnsi="Sylfaen"/>
                <w:sz w:val="20"/>
                <w:szCs w:val="20"/>
              </w:rPr>
              <w:t>ქრონიკული</w:t>
            </w:r>
            <w:proofErr w:type="spellEnd"/>
            <w:r>
              <w:rPr>
                <w:rFonts w:ascii="Sylfaen" w:hAnsi="Sylfaen"/>
                <w:sz w:val="20"/>
                <w:szCs w:val="20"/>
              </w:rPr>
              <w:t xml:space="preserve"> </w:t>
            </w:r>
            <w:proofErr w:type="spellStart"/>
            <w:r>
              <w:rPr>
                <w:rFonts w:ascii="Sylfaen" w:hAnsi="Sylfaen"/>
                <w:sz w:val="20"/>
                <w:szCs w:val="20"/>
              </w:rPr>
              <w:t>ვირუსული</w:t>
            </w:r>
            <w:proofErr w:type="spellEnd"/>
            <w:r>
              <w:rPr>
                <w:rFonts w:ascii="Sylfaen" w:hAnsi="Sylfaen"/>
                <w:sz w:val="20"/>
                <w:szCs w:val="20"/>
              </w:rPr>
              <w:t xml:space="preserve"> </w:t>
            </w:r>
            <w:proofErr w:type="spellStart"/>
            <w:r>
              <w:rPr>
                <w:rFonts w:ascii="Sylfaen" w:hAnsi="Sylfaen"/>
                <w:sz w:val="20"/>
                <w:szCs w:val="20"/>
              </w:rPr>
              <w:t>ჰეპატიტი</w:t>
            </w:r>
            <w:proofErr w:type="spellEnd"/>
            <w:r>
              <w:rPr>
                <w:rFonts w:ascii="Sylfaen" w:hAnsi="Sylfaen"/>
                <w:sz w:val="20"/>
                <w:szCs w:val="20"/>
              </w:rPr>
              <w:t xml:space="preserve"> -</w:t>
            </w:r>
            <w:proofErr w:type="spellStart"/>
            <w:r>
              <w:rPr>
                <w:rFonts w:ascii="Sylfaen" w:hAnsi="Sylfaen"/>
                <w:sz w:val="20"/>
                <w:szCs w:val="20"/>
              </w:rPr>
              <w:t>პათოლოგიური</w:t>
            </w:r>
            <w:proofErr w:type="spellEnd"/>
            <w:r>
              <w:rPr>
                <w:rFonts w:ascii="Sylfaen" w:hAnsi="Sylfaen"/>
                <w:sz w:val="20"/>
                <w:szCs w:val="20"/>
              </w:rPr>
              <w:t xml:space="preserve"> </w:t>
            </w:r>
            <w:proofErr w:type="spellStart"/>
            <w:r>
              <w:rPr>
                <w:rFonts w:ascii="Sylfaen" w:hAnsi="Sylfaen"/>
                <w:sz w:val="20"/>
                <w:szCs w:val="20"/>
              </w:rPr>
              <w:t>პროცესის</w:t>
            </w:r>
            <w:proofErr w:type="spellEnd"/>
            <w:r>
              <w:rPr>
                <w:rFonts w:ascii="Sylfaen" w:hAnsi="Sylfaen"/>
                <w:sz w:val="20"/>
                <w:szCs w:val="20"/>
              </w:rPr>
              <w:t xml:space="preserve"> </w:t>
            </w:r>
            <w:proofErr w:type="spellStart"/>
            <w:r>
              <w:rPr>
                <w:rFonts w:ascii="Sylfaen" w:hAnsi="Sylfaen"/>
                <w:sz w:val="20"/>
                <w:szCs w:val="20"/>
              </w:rPr>
              <w:t>მაღალი</w:t>
            </w:r>
            <w:proofErr w:type="spellEnd"/>
            <w:r>
              <w:rPr>
                <w:rFonts w:ascii="Sylfaen" w:hAnsi="Sylfaen"/>
                <w:sz w:val="20"/>
                <w:szCs w:val="20"/>
              </w:rPr>
              <w:t xml:space="preserve"> </w:t>
            </w:r>
            <w:proofErr w:type="spellStart"/>
            <w:r>
              <w:rPr>
                <w:rFonts w:ascii="Sylfaen" w:hAnsi="Sylfaen"/>
                <w:sz w:val="20"/>
                <w:szCs w:val="20"/>
              </w:rPr>
              <w:t>აქტივობით</w:t>
            </w:r>
            <w:proofErr w:type="spellEnd"/>
            <w:r>
              <w:rPr>
                <w:rFonts w:ascii="Sylfaen" w:hAnsi="Sylfaen"/>
                <w:sz w:val="20"/>
                <w:szCs w:val="20"/>
              </w:rPr>
              <w:t xml:space="preserve"> (</w:t>
            </w:r>
            <w:proofErr w:type="spellStart"/>
            <w:r>
              <w:rPr>
                <w:rFonts w:ascii="Sylfaen" w:hAnsi="Sylfaen"/>
                <w:sz w:val="20"/>
                <w:szCs w:val="20"/>
              </w:rPr>
              <w:t>სპეც</w:t>
            </w:r>
            <w:proofErr w:type="spellEnd"/>
            <w:r>
              <w:rPr>
                <w:rFonts w:ascii="Sylfaen" w:hAnsi="Sylfaen"/>
                <w:sz w:val="20"/>
                <w:szCs w:val="20"/>
              </w:rPr>
              <w:t>–</w:t>
            </w:r>
            <w:proofErr w:type="spellStart"/>
            <w:r>
              <w:rPr>
                <w:rFonts w:ascii="Sylfaen" w:hAnsi="Sylfaen"/>
                <w:sz w:val="20"/>
                <w:szCs w:val="20"/>
              </w:rPr>
              <w:t>მედიკამენტების</w:t>
            </w:r>
            <w:proofErr w:type="spellEnd"/>
            <w:r>
              <w:rPr>
                <w:rFonts w:ascii="Sylfaen" w:hAnsi="Sylfaen"/>
                <w:sz w:val="20"/>
                <w:szCs w:val="20"/>
              </w:rPr>
              <w:t xml:space="preserve"> </w:t>
            </w:r>
            <w:proofErr w:type="spellStart"/>
            <w:r>
              <w:rPr>
                <w:rFonts w:ascii="Sylfaen" w:hAnsi="Sylfaen"/>
                <w:sz w:val="20"/>
                <w:szCs w:val="20"/>
              </w:rPr>
              <w:t>გარეშე</w:t>
            </w:r>
            <w:proofErr w:type="spellEnd"/>
            <w:r>
              <w:rPr>
                <w:rFonts w:ascii="Sylfaen" w:hAnsi="Sylfaen"/>
                <w:sz w:val="20"/>
                <w:szCs w:val="20"/>
              </w:rPr>
              <w:t>)</w:t>
            </w:r>
          </w:p>
        </w:tc>
        <w:tc>
          <w:tcPr>
            <w:tcW w:w="2284" w:type="dxa"/>
            <w:tcBorders>
              <w:top w:val="single" w:sz="8" w:space="0" w:color="auto"/>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B18.0; B18.1; B18.2; B18.9</w:t>
            </w:r>
          </w:p>
        </w:tc>
        <w:tc>
          <w:tcPr>
            <w:tcW w:w="709" w:type="dxa"/>
            <w:tcBorders>
              <w:top w:val="single" w:sz="8" w:space="0" w:color="auto"/>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850</w:t>
            </w:r>
          </w:p>
        </w:tc>
      </w:tr>
      <w:tr w:rsidR="00472CA5" w:rsidTr="00472CA5">
        <w:trPr>
          <w:trHeight w:val="165"/>
        </w:trPr>
        <w:tc>
          <w:tcPr>
            <w:tcW w:w="409" w:type="dxa"/>
            <w:tcBorders>
              <w:top w:val="nil"/>
              <w:left w:val="single" w:sz="8" w:space="0" w:color="auto"/>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1.8</w:t>
            </w:r>
          </w:p>
        </w:tc>
        <w:tc>
          <w:tcPr>
            <w:tcW w:w="5812"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proofErr w:type="spellStart"/>
            <w:r>
              <w:rPr>
                <w:rFonts w:ascii="Sylfaen" w:hAnsi="Sylfaen"/>
                <w:sz w:val="20"/>
                <w:szCs w:val="20"/>
              </w:rPr>
              <w:t>ქრონიკული</w:t>
            </w:r>
            <w:proofErr w:type="spellEnd"/>
            <w:r>
              <w:rPr>
                <w:rFonts w:ascii="Sylfaen" w:hAnsi="Sylfaen"/>
                <w:sz w:val="20"/>
                <w:szCs w:val="20"/>
              </w:rPr>
              <w:t xml:space="preserve"> </w:t>
            </w:r>
            <w:proofErr w:type="spellStart"/>
            <w:r>
              <w:rPr>
                <w:rFonts w:ascii="Sylfaen" w:hAnsi="Sylfaen"/>
                <w:sz w:val="20"/>
                <w:szCs w:val="20"/>
              </w:rPr>
              <w:t>ვირუსული</w:t>
            </w:r>
            <w:proofErr w:type="spellEnd"/>
            <w:r>
              <w:rPr>
                <w:rFonts w:ascii="Sylfaen" w:hAnsi="Sylfaen"/>
                <w:sz w:val="20"/>
                <w:szCs w:val="20"/>
              </w:rPr>
              <w:t xml:space="preserve"> </w:t>
            </w:r>
            <w:proofErr w:type="spellStart"/>
            <w:r>
              <w:rPr>
                <w:rFonts w:ascii="Sylfaen" w:hAnsi="Sylfaen"/>
                <w:sz w:val="20"/>
                <w:szCs w:val="20"/>
              </w:rPr>
              <w:t>ჰეპატიტი</w:t>
            </w:r>
            <w:proofErr w:type="spellEnd"/>
            <w:r>
              <w:rPr>
                <w:rFonts w:ascii="Sylfaen" w:hAnsi="Sylfaen"/>
                <w:sz w:val="20"/>
                <w:szCs w:val="20"/>
              </w:rPr>
              <w:t xml:space="preserve"> </w:t>
            </w:r>
            <w:proofErr w:type="spellStart"/>
            <w:r>
              <w:rPr>
                <w:rFonts w:ascii="Sylfaen" w:hAnsi="Sylfaen"/>
                <w:sz w:val="20"/>
                <w:szCs w:val="20"/>
              </w:rPr>
              <w:t>ციროზით</w:t>
            </w:r>
            <w:proofErr w:type="spellEnd"/>
            <w:r>
              <w:rPr>
                <w:rFonts w:ascii="Sylfaen" w:hAnsi="Sylfaen"/>
                <w:sz w:val="20"/>
                <w:szCs w:val="20"/>
              </w:rPr>
              <w:t xml:space="preserve"> </w:t>
            </w:r>
            <w:r>
              <w:rPr>
                <w:rFonts w:ascii="Sylfaen" w:hAnsi="Sylfaen"/>
                <w:sz w:val="20"/>
                <w:szCs w:val="20"/>
                <w:lang w:val="ka-GE"/>
              </w:rPr>
              <w:t>(მყარი ვირუსული პასუხის-</w:t>
            </w:r>
            <w:proofErr w:type="spellStart"/>
            <w:r>
              <w:rPr>
                <w:rFonts w:ascii="Sylfaen" w:hAnsi="Sylfaen"/>
                <w:sz w:val="20"/>
                <w:szCs w:val="20"/>
              </w:rPr>
              <w:t>svr</w:t>
            </w:r>
            <w:proofErr w:type="spellEnd"/>
            <w:r>
              <w:rPr>
                <w:rFonts w:ascii="Sylfaen" w:hAnsi="Sylfaen"/>
                <w:sz w:val="20"/>
                <w:szCs w:val="20"/>
              </w:rPr>
              <w:t xml:space="preserve"> </w:t>
            </w:r>
            <w:r>
              <w:rPr>
                <w:rFonts w:ascii="Sylfaen" w:hAnsi="Sylfaen"/>
                <w:sz w:val="20"/>
                <w:szCs w:val="20"/>
                <w:lang w:val="ka-GE"/>
              </w:rPr>
              <w:t xml:space="preserve">მიუხედავად) </w:t>
            </w:r>
            <w:proofErr w:type="spellStart"/>
            <w:r>
              <w:rPr>
                <w:rFonts w:ascii="Sylfaen" w:hAnsi="Sylfaen"/>
                <w:sz w:val="20"/>
                <w:szCs w:val="20"/>
              </w:rPr>
              <w:t>სპეც</w:t>
            </w:r>
            <w:proofErr w:type="spellEnd"/>
            <w:r>
              <w:rPr>
                <w:rFonts w:ascii="Sylfaen" w:hAnsi="Sylfaen"/>
                <w:sz w:val="20"/>
                <w:szCs w:val="20"/>
              </w:rPr>
              <w:t>–</w:t>
            </w:r>
            <w:proofErr w:type="spellStart"/>
            <w:r>
              <w:rPr>
                <w:rFonts w:ascii="Sylfaen" w:hAnsi="Sylfaen"/>
                <w:sz w:val="20"/>
                <w:szCs w:val="20"/>
              </w:rPr>
              <w:t>მედიკამენტების</w:t>
            </w:r>
            <w:proofErr w:type="spellEnd"/>
            <w:r>
              <w:rPr>
                <w:rFonts w:ascii="Sylfaen" w:hAnsi="Sylfaen"/>
                <w:sz w:val="20"/>
                <w:szCs w:val="20"/>
              </w:rPr>
              <w:t xml:space="preserve"> </w:t>
            </w:r>
            <w:proofErr w:type="spellStart"/>
            <w:r>
              <w:rPr>
                <w:rFonts w:ascii="Sylfaen" w:hAnsi="Sylfaen"/>
                <w:sz w:val="20"/>
                <w:szCs w:val="20"/>
              </w:rPr>
              <w:t>გარეშე</w:t>
            </w:r>
            <w:proofErr w:type="spellEnd"/>
          </w:p>
        </w:tc>
        <w:tc>
          <w:tcPr>
            <w:tcW w:w="2284"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B18.0; B18.1; B18.2; B18.9</w:t>
            </w:r>
          </w:p>
        </w:tc>
        <w:tc>
          <w:tcPr>
            <w:tcW w:w="709"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1200</w:t>
            </w:r>
          </w:p>
        </w:tc>
      </w:tr>
      <w:tr w:rsidR="00472CA5" w:rsidTr="00472CA5">
        <w:trPr>
          <w:trHeight w:val="165"/>
        </w:trPr>
        <w:tc>
          <w:tcPr>
            <w:tcW w:w="409" w:type="dxa"/>
            <w:tcBorders>
              <w:top w:val="nil"/>
              <w:left w:val="single" w:sz="8" w:space="0" w:color="auto"/>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1.9</w:t>
            </w:r>
          </w:p>
        </w:tc>
        <w:tc>
          <w:tcPr>
            <w:tcW w:w="5812"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proofErr w:type="spellStart"/>
            <w:r>
              <w:rPr>
                <w:rFonts w:ascii="Sylfaen" w:hAnsi="Sylfaen"/>
                <w:sz w:val="20"/>
                <w:szCs w:val="20"/>
              </w:rPr>
              <w:t>ქრონიკული</w:t>
            </w:r>
            <w:proofErr w:type="spellEnd"/>
            <w:r>
              <w:rPr>
                <w:rFonts w:ascii="Sylfaen" w:hAnsi="Sylfaen"/>
                <w:sz w:val="20"/>
                <w:szCs w:val="20"/>
              </w:rPr>
              <w:t xml:space="preserve"> </w:t>
            </w:r>
            <w:proofErr w:type="spellStart"/>
            <w:r>
              <w:rPr>
                <w:rFonts w:ascii="Sylfaen" w:hAnsi="Sylfaen"/>
                <w:sz w:val="20"/>
                <w:szCs w:val="20"/>
              </w:rPr>
              <w:t>ვირუსული</w:t>
            </w:r>
            <w:proofErr w:type="spellEnd"/>
            <w:r>
              <w:rPr>
                <w:rFonts w:ascii="Sylfaen" w:hAnsi="Sylfaen"/>
                <w:sz w:val="20"/>
                <w:szCs w:val="20"/>
              </w:rPr>
              <w:t xml:space="preserve"> </w:t>
            </w:r>
            <w:proofErr w:type="spellStart"/>
            <w:r>
              <w:rPr>
                <w:rFonts w:ascii="Sylfaen" w:hAnsi="Sylfaen"/>
                <w:sz w:val="20"/>
                <w:szCs w:val="20"/>
              </w:rPr>
              <w:t>ჰეპატიტი</w:t>
            </w:r>
            <w:proofErr w:type="spellEnd"/>
            <w:r>
              <w:rPr>
                <w:rFonts w:ascii="Sylfaen" w:hAnsi="Sylfaen"/>
                <w:sz w:val="20"/>
                <w:szCs w:val="20"/>
              </w:rPr>
              <w:t xml:space="preserve"> </w:t>
            </w:r>
            <w:proofErr w:type="spellStart"/>
            <w:r>
              <w:rPr>
                <w:rFonts w:ascii="Sylfaen" w:hAnsi="Sylfaen"/>
                <w:sz w:val="20"/>
                <w:szCs w:val="20"/>
              </w:rPr>
              <w:t>ციროზით</w:t>
            </w:r>
            <w:proofErr w:type="spellEnd"/>
            <w:r>
              <w:rPr>
                <w:rFonts w:ascii="Sylfaen" w:hAnsi="Sylfaen"/>
                <w:sz w:val="20"/>
                <w:szCs w:val="20"/>
              </w:rPr>
              <w:t xml:space="preserve">, </w:t>
            </w:r>
            <w:proofErr w:type="spellStart"/>
            <w:r>
              <w:rPr>
                <w:rFonts w:ascii="Sylfaen" w:hAnsi="Sylfaen"/>
                <w:sz w:val="20"/>
                <w:szCs w:val="20"/>
              </w:rPr>
              <w:t>ასციტით</w:t>
            </w:r>
            <w:proofErr w:type="spellEnd"/>
            <w:r>
              <w:rPr>
                <w:rFonts w:ascii="Sylfaen" w:hAnsi="Sylfaen"/>
                <w:sz w:val="20"/>
                <w:szCs w:val="20"/>
              </w:rPr>
              <w:t xml:space="preserve"> </w:t>
            </w:r>
            <w:proofErr w:type="spellStart"/>
            <w:r>
              <w:rPr>
                <w:rFonts w:ascii="Sylfaen" w:hAnsi="Sylfaen"/>
                <w:sz w:val="20"/>
                <w:szCs w:val="20"/>
              </w:rPr>
              <w:t>და</w:t>
            </w:r>
            <w:proofErr w:type="spellEnd"/>
            <w:r>
              <w:rPr>
                <w:rFonts w:ascii="Sylfaen" w:hAnsi="Sylfaen"/>
                <w:sz w:val="20"/>
                <w:szCs w:val="20"/>
              </w:rPr>
              <w:t>/</w:t>
            </w:r>
            <w:proofErr w:type="spellStart"/>
            <w:r>
              <w:rPr>
                <w:rFonts w:ascii="Sylfaen" w:hAnsi="Sylfaen"/>
                <w:sz w:val="20"/>
                <w:szCs w:val="20"/>
              </w:rPr>
              <w:t>ან</w:t>
            </w:r>
            <w:proofErr w:type="spellEnd"/>
            <w:r>
              <w:rPr>
                <w:rFonts w:ascii="Sylfaen" w:hAnsi="Sylfaen"/>
                <w:sz w:val="20"/>
                <w:szCs w:val="20"/>
              </w:rPr>
              <w:t xml:space="preserve"> </w:t>
            </w:r>
            <w:proofErr w:type="spellStart"/>
            <w:r>
              <w:rPr>
                <w:rFonts w:ascii="Sylfaen" w:hAnsi="Sylfaen"/>
                <w:sz w:val="20"/>
                <w:szCs w:val="20"/>
              </w:rPr>
              <w:t>ენცეფალოპათიით</w:t>
            </w:r>
            <w:proofErr w:type="spellEnd"/>
            <w:r>
              <w:rPr>
                <w:rFonts w:ascii="Sylfaen" w:hAnsi="Sylfaen"/>
                <w:sz w:val="20"/>
                <w:szCs w:val="20"/>
              </w:rPr>
              <w:t xml:space="preserve">, </w:t>
            </w:r>
            <w:proofErr w:type="spellStart"/>
            <w:r>
              <w:rPr>
                <w:rFonts w:ascii="Sylfaen" w:hAnsi="Sylfaen"/>
                <w:sz w:val="20"/>
                <w:szCs w:val="20"/>
              </w:rPr>
              <w:t>და</w:t>
            </w:r>
            <w:proofErr w:type="spellEnd"/>
            <w:r>
              <w:rPr>
                <w:rFonts w:ascii="Sylfaen" w:hAnsi="Sylfaen"/>
                <w:sz w:val="20"/>
                <w:szCs w:val="20"/>
              </w:rPr>
              <w:t>/</w:t>
            </w:r>
            <w:proofErr w:type="spellStart"/>
            <w:r>
              <w:rPr>
                <w:rFonts w:ascii="Sylfaen" w:hAnsi="Sylfaen"/>
                <w:sz w:val="20"/>
                <w:szCs w:val="20"/>
              </w:rPr>
              <w:t>ან</w:t>
            </w:r>
            <w:proofErr w:type="spellEnd"/>
            <w:r>
              <w:rPr>
                <w:rFonts w:ascii="Sylfaen" w:hAnsi="Sylfaen"/>
                <w:sz w:val="20"/>
                <w:szCs w:val="20"/>
              </w:rPr>
              <w:t xml:space="preserve"> </w:t>
            </w:r>
            <w:proofErr w:type="spellStart"/>
            <w:r>
              <w:rPr>
                <w:rFonts w:ascii="Sylfaen" w:hAnsi="Sylfaen"/>
                <w:sz w:val="20"/>
                <w:szCs w:val="20"/>
              </w:rPr>
              <w:t>ჰეპატო-რენული</w:t>
            </w:r>
            <w:proofErr w:type="spellEnd"/>
            <w:r>
              <w:rPr>
                <w:rFonts w:ascii="Sylfaen" w:hAnsi="Sylfaen"/>
                <w:sz w:val="20"/>
                <w:szCs w:val="20"/>
              </w:rPr>
              <w:t xml:space="preserve"> </w:t>
            </w:r>
            <w:proofErr w:type="spellStart"/>
            <w:r>
              <w:rPr>
                <w:rFonts w:ascii="Sylfaen" w:hAnsi="Sylfaen"/>
                <w:sz w:val="20"/>
                <w:szCs w:val="20"/>
              </w:rPr>
              <w:t>სინდრომით</w:t>
            </w:r>
            <w:proofErr w:type="spellEnd"/>
            <w:r>
              <w:rPr>
                <w:rFonts w:ascii="Sylfaen" w:hAnsi="Sylfaen"/>
                <w:sz w:val="20"/>
                <w:szCs w:val="20"/>
              </w:rPr>
              <w:t xml:space="preserve"> </w:t>
            </w:r>
            <w:r>
              <w:rPr>
                <w:rFonts w:ascii="Sylfaen" w:hAnsi="Sylfaen"/>
                <w:sz w:val="20"/>
                <w:szCs w:val="20"/>
                <w:lang w:val="ka-GE"/>
              </w:rPr>
              <w:t xml:space="preserve">მყარი ვირუსული პასუხის - </w:t>
            </w:r>
            <w:proofErr w:type="spellStart"/>
            <w:r>
              <w:rPr>
                <w:rFonts w:ascii="Sylfaen" w:hAnsi="Sylfaen"/>
                <w:sz w:val="20"/>
                <w:szCs w:val="20"/>
              </w:rPr>
              <w:t>svr</w:t>
            </w:r>
            <w:proofErr w:type="spellEnd"/>
            <w:r>
              <w:rPr>
                <w:rFonts w:ascii="Sylfaen" w:hAnsi="Sylfaen"/>
                <w:sz w:val="20"/>
                <w:szCs w:val="20"/>
              </w:rPr>
              <w:t xml:space="preserve"> </w:t>
            </w:r>
            <w:r>
              <w:rPr>
                <w:rFonts w:ascii="Sylfaen" w:hAnsi="Sylfaen"/>
                <w:sz w:val="20"/>
                <w:szCs w:val="20"/>
                <w:lang w:val="ka-GE"/>
              </w:rPr>
              <w:t xml:space="preserve">მიუხედავად) </w:t>
            </w:r>
            <w:proofErr w:type="spellStart"/>
            <w:r>
              <w:rPr>
                <w:rFonts w:ascii="Sylfaen" w:hAnsi="Sylfaen"/>
                <w:sz w:val="20"/>
                <w:szCs w:val="20"/>
              </w:rPr>
              <w:t>სპეც</w:t>
            </w:r>
            <w:proofErr w:type="spellEnd"/>
            <w:r>
              <w:rPr>
                <w:rFonts w:ascii="Sylfaen" w:hAnsi="Sylfaen"/>
                <w:sz w:val="20"/>
                <w:szCs w:val="20"/>
              </w:rPr>
              <w:t>–</w:t>
            </w:r>
            <w:proofErr w:type="spellStart"/>
            <w:r>
              <w:rPr>
                <w:rFonts w:ascii="Sylfaen" w:hAnsi="Sylfaen"/>
                <w:sz w:val="20"/>
                <w:szCs w:val="20"/>
              </w:rPr>
              <w:t>მედიკამენტების</w:t>
            </w:r>
            <w:proofErr w:type="spellEnd"/>
            <w:r>
              <w:rPr>
                <w:rFonts w:ascii="Sylfaen" w:hAnsi="Sylfaen"/>
                <w:sz w:val="20"/>
                <w:szCs w:val="20"/>
              </w:rPr>
              <w:t xml:space="preserve"> </w:t>
            </w:r>
            <w:proofErr w:type="spellStart"/>
            <w:r>
              <w:rPr>
                <w:rFonts w:ascii="Sylfaen" w:hAnsi="Sylfaen"/>
                <w:sz w:val="20"/>
                <w:szCs w:val="20"/>
              </w:rPr>
              <w:t>გარეშე</w:t>
            </w:r>
            <w:proofErr w:type="spellEnd"/>
          </w:p>
        </w:tc>
        <w:tc>
          <w:tcPr>
            <w:tcW w:w="2284"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B18.0; B18.1; B18.2; B18.9</w:t>
            </w:r>
          </w:p>
        </w:tc>
        <w:tc>
          <w:tcPr>
            <w:tcW w:w="709" w:type="dxa"/>
            <w:tcBorders>
              <w:top w:val="nil"/>
              <w:left w:val="nil"/>
              <w:bottom w:val="single" w:sz="8" w:space="0" w:color="auto"/>
              <w:right w:val="single" w:sz="8" w:space="0" w:color="auto"/>
            </w:tcBorders>
            <w:shd w:val="clear" w:color="auto" w:fill="EAEAEA"/>
            <w:vAlign w:val="center"/>
            <w:hideMark/>
          </w:tcPr>
          <w:p w:rsidR="00472CA5" w:rsidRDefault="00472CA5">
            <w:pPr>
              <w:spacing w:line="20" w:lineRule="atLeast"/>
              <w:jc w:val="both"/>
              <w:rPr>
                <w:rFonts w:ascii="Sylfaen" w:hAnsi="Sylfaen"/>
                <w:sz w:val="20"/>
                <w:szCs w:val="20"/>
              </w:rPr>
            </w:pPr>
            <w:r>
              <w:rPr>
                <w:rFonts w:ascii="Sylfaen" w:hAnsi="Sylfaen"/>
                <w:sz w:val="20"/>
                <w:szCs w:val="20"/>
              </w:rPr>
              <w:t>3000</w:t>
            </w:r>
          </w:p>
        </w:tc>
      </w:tr>
    </w:tbl>
    <w:p w:rsidR="00472CA5" w:rsidRDefault="00472CA5" w:rsidP="00472CA5">
      <w:pPr>
        <w:rPr>
          <w:rFonts w:ascii="Sylfaen" w:hAnsi="Sylfaen"/>
        </w:rPr>
      </w:pPr>
    </w:p>
    <w:p w:rsidR="007537C1" w:rsidRDefault="005B43D7" w:rsidP="00472CA5">
      <w:pPr>
        <w:jc w:val="both"/>
        <w:rPr>
          <w:rFonts w:ascii="Sylfaen" w:hAnsi="Sylfaen"/>
          <w:lang w:val="ka-GE"/>
        </w:rPr>
      </w:pPr>
      <w:r>
        <w:rPr>
          <w:rFonts w:ascii="Sylfaen" w:hAnsi="Sylfaen"/>
          <w:lang w:val="ka-GE"/>
        </w:rPr>
        <w:t>ინფექციური პათოლოგიის, შიდსისა და კლინიკური იმუნოლოგიის ს/პ ცენტრის მიერ მოწოდებული სტატისტიკური მონაცემებით ჩანს სხვაობა ვერტიკალური პროგრამისა და საყოველთაო ჯანდაცვის პროგრამის ფარგლებში გატარებულ პაციენტთა რაოდენობასა და ასევე სახელმწიფოს მიერ ანაზრაურებულ თანხებს შორის:</w:t>
      </w:r>
    </w:p>
    <w:p w:rsidR="005B43D7" w:rsidRDefault="005B43D7" w:rsidP="00472CA5">
      <w:pPr>
        <w:jc w:val="both"/>
        <w:rPr>
          <w:rFonts w:ascii="Sylfaen" w:hAnsi="Sylfaen"/>
          <w:lang w:val="ka-GE"/>
        </w:rPr>
      </w:pPr>
    </w:p>
    <w:tbl>
      <w:tblPr>
        <w:tblStyle w:val="TableGrid"/>
        <w:tblW w:w="0" w:type="auto"/>
        <w:tblLook w:val="04A0" w:firstRow="1" w:lastRow="0" w:firstColumn="1" w:lastColumn="0" w:noHBand="0" w:noVBand="1"/>
      </w:tblPr>
      <w:tblGrid>
        <w:gridCol w:w="2256"/>
        <w:gridCol w:w="1721"/>
        <w:gridCol w:w="2142"/>
        <w:gridCol w:w="1934"/>
        <w:gridCol w:w="1523"/>
      </w:tblGrid>
      <w:tr w:rsidR="009C462A" w:rsidTr="009C462A">
        <w:tc>
          <w:tcPr>
            <w:tcW w:w="2256" w:type="dxa"/>
          </w:tcPr>
          <w:p w:rsidR="009C462A" w:rsidRDefault="009C462A" w:rsidP="009C462A">
            <w:pPr>
              <w:jc w:val="center"/>
              <w:rPr>
                <w:rFonts w:ascii="Sylfaen" w:hAnsi="Sylfaen"/>
                <w:lang w:val="ka-GE"/>
              </w:rPr>
            </w:pPr>
            <w:r>
              <w:rPr>
                <w:rFonts w:ascii="Sylfaen" w:hAnsi="Sylfaen"/>
                <w:lang w:val="ka-GE"/>
              </w:rPr>
              <w:t>პროგრამა</w:t>
            </w:r>
          </w:p>
        </w:tc>
        <w:tc>
          <w:tcPr>
            <w:tcW w:w="1721" w:type="dxa"/>
          </w:tcPr>
          <w:p w:rsidR="009C462A" w:rsidRPr="009C462A" w:rsidRDefault="009C462A" w:rsidP="005B43D7">
            <w:pPr>
              <w:jc w:val="center"/>
              <w:rPr>
                <w:rFonts w:ascii="Sylfaen" w:hAnsi="Sylfaen"/>
                <w:sz w:val="18"/>
                <w:szCs w:val="18"/>
                <w:lang w:val="ka-GE"/>
              </w:rPr>
            </w:pPr>
            <w:r w:rsidRPr="009C462A">
              <w:rPr>
                <w:rFonts w:ascii="Sylfaen" w:hAnsi="Sylfaen"/>
                <w:sz w:val="18"/>
                <w:szCs w:val="18"/>
                <w:lang w:val="ka-GE"/>
              </w:rPr>
              <w:t>პაციენტების რაოდენობა</w:t>
            </w:r>
          </w:p>
        </w:tc>
        <w:tc>
          <w:tcPr>
            <w:tcW w:w="2142" w:type="dxa"/>
          </w:tcPr>
          <w:p w:rsidR="009C462A" w:rsidRPr="009C462A" w:rsidRDefault="009C462A" w:rsidP="005B43D7">
            <w:pPr>
              <w:jc w:val="center"/>
              <w:rPr>
                <w:rFonts w:ascii="Sylfaen" w:hAnsi="Sylfaen"/>
                <w:sz w:val="18"/>
                <w:szCs w:val="18"/>
                <w:lang w:val="ka-GE"/>
              </w:rPr>
            </w:pPr>
            <w:r w:rsidRPr="009C462A">
              <w:rPr>
                <w:rFonts w:ascii="Sylfaen" w:hAnsi="Sylfaen"/>
                <w:sz w:val="18"/>
                <w:szCs w:val="18"/>
                <w:lang w:val="ka-GE"/>
              </w:rPr>
              <w:t>ფაქტობრივი ხარჯი (ლარი)</w:t>
            </w:r>
          </w:p>
        </w:tc>
        <w:tc>
          <w:tcPr>
            <w:tcW w:w="1934" w:type="dxa"/>
          </w:tcPr>
          <w:p w:rsidR="009C462A" w:rsidRPr="009C462A" w:rsidRDefault="009C462A" w:rsidP="005B43D7">
            <w:pPr>
              <w:jc w:val="center"/>
              <w:rPr>
                <w:rFonts w:ascii="Sylfaen" w:hAnsi="Sylfaen"/>
                <w:sz w:val="18"/>
                <w:szCs w:val="18"/>
                <w:lang w:val="ka-GE"/>
              </w:rPr>
            </w:pPr>
            <w:r w:rsidRPr="009C462A">
              <w:rPr>
                <w:rFonts w:ascii="Sylfaen" w:hAnsi="Sylfaen"/>
                <w:sz w:val="18"/>
                <w:szCs w:val="18"/>
                <w:lang w:val="ka-GE"/>
              </w:rPr>
              <w:t>სახელმწიფო მხრიდან ანაზღაურებული თანხა (ლარი)</w:t>
            </w:r>
          </w:p>
        </w:tc>
        <w:tc>
          <w:tcPr>
            <w:tcW w:w="1523" w:type="dxa"/>
          </w:tcPr>
          <w:p w:rsidR="009C462A" w:rsidRPr="009C462A" w:rsidRDefault="009C462A" w:rsidP="005B43D7">
            <w:pPr>
              <w:jc w:val="center"/>
              <w:rPr>
                <w:rFonts w:ascii="Sylfaen" w:hAnsi="Sylfaen"/>
                <w:sz w:val="18"/>
                <w:szCs w:val="18"/>
                <w:lang w:val="ka-GE"/>
              </w:rPr>
            </w:pPr>
            <w:r w:rsidRPr="009C462A">
              <w:rPr>
                <w:rFonts w:ascii="Sylfaen" w:hAnsi="Sylfaen"/>
                <w:sz w:val="18"/>
                <w:szCs w:val="18"/>
                <w:lang w:val="ka-GE"/>
              </w:rPr>
              <w:t>საშუალო ხარჯი 1 შემთხვევაზე</w:t>
            </w:r>
            <w:r>
              <w:rPr>
                <w:rFonts w:ascii="Sylfaen" w:hAnsi="Sylfaen"/>
                <w:sz w:val="18"/>
                <w:szCs w:val="18"/>
                <w:lang w:val="ka-GE"/>
              </w:rPr>
              <w:t xml:space="preserve"> (ლარი)</w:t>
            </w:r>
          </w:p>
        </w:tc>
      </w:tr>
      <w:tr w:rsidR="009C462A" w:rsidTr="009C462A">
        <w:tc>
          <w:tcPr>
            <w:tcW w:w="2256" w:type="dxa"/>
          </w:tcPr>
          <w:p w:rsidR="009C462A" w:rsidRPr="009C462A" w:rsidRDefault="009C462A" w:rsidP="00472CA5">
            <w:pPr>
              <w:jc w:val="both"/>
              <w:rPr>
                <w:rFonts w:ascii="Sylfaen" w:hAnsi="Sylfaen"/>
                <w:sz w:val="18"/>
                <w:szCs w:val="18"/>
                <w:lang w:val="ka-GE"/>
              </w:rPr>
            </w:pPr>
            <w:r w:rsidRPr="009C462A">
              <w:rPr>
                <w:rFonts w:ascii="Sylfaen" w:hAnsi="Sylfaen"/>
                <w:sz w:val="18"/>
                <w:szCs w:val="18"/>
                <w:lang w:val="ka-GE"/>
              </w:rPr>
              <w:t>საყოველთაო ჯანდაცვის სახელმწიფო პროგრამა</w:t>
            </w:r>
          </w:p>
        </w:tc>
        <w:tc>
          <w:tcPr>
            <w:tcW w:w="1721" w:type="dxa"/>
          </w:tcPr>
          <w:p w:rsidR="009C462A" w:rsidRDefault="009C462A" w:rsidP="009C462A">
            <w:pPr>
              <w:jc w:val="center"/>
              <w:rPr>
                <w:rFonts w:ascii="Sylfaen" w:hAnsi="Sylfaen"/>
                <w:lang w:val="ka-GE"/>
              </w:rPr>
            </w:pPr>
            <w:r>
              <w:rPr>
                <w:rFonts w:ascii="Sylfaen" w:hAnsi="Sylfaen"/>
                <w:lang w:val="ka-GE"/>
              </w:rPr>
              <w:t>35</w:t>
            </w:r>
          </w:p>
        </w:tc>
        <w:tc>
          <w:tcPr>
            <w:tcW w:w="2142" w:type="dxa"/>
          </w:tcPr>
          <w:p w:rsidR="009C462A" w:rsidRDefault="009C462A" w:rsidP="009C462A">
            <w:pPr>
              <w:jc w:val="center"/>
              <w:rPr>
                <w:rFonts w:ascii="Sylfaen" w:hAnsi="Sylfaen"/>
                <w:lang w:val="ka-GE"/>
              </w:rPr>
            </w:pPr>
            <w:r>
              <w:rPr>
                <w:rFonts w:ascii="Sylfaen" w:hAnsi="Sylfaen"/>
                <w:lang w:val="ka-GE"/>
              </w:rPr>
              <w:t>84 648</w:t>
            </w:r>
          </w:p>
        </w:tc>
        <w:tc>
          <w:tcPr>
            <w:tcW w:w="1934" w:type="dxa"/>
          </w:tcPr>
          <w:p w:rsidR="009C462A" w:rsidRDefault="009C462A" w:rsidP="009C462A">
            <w:pPr>
              <w:jc w:val="center"/>
              <w:rPr>
                <w:rFonts w:ascii="Sylfaen" w:hAnsi="Sylfaen"/>
                <w:lang w:val="ka-GE"/>
              </w:rPr>
            </w:pPr>
            <w:r>
              <w:rPr>
                <w:rFonts w:ascii="Sylfaen" w:hAnsi="Sylfaen"/>
                <w:lang w:val="ka-GE"/>
              </w:rPr>
              <w:t>82 475</w:t>
            </w:r>
          </w:p>
        </w:tc>
        <w:tc>
          <w:tcPr>
            <w:tcW w:w="1523" w:type="dxa"/>
          </w:tcPr>
          <w:p w:rsidR="009C462A" w:rsidRDefault="009C462A" w:rsidP="009C462A">
            <w:pPr>
              <w:jc w:val="center"/>
              <w:rPr>
                <w:rFonts w:ascii="Sylfaen" w:hAnsi="Sylfaen"/>
                <w:lang w:val="ka-GE"/>
              </w:rPr>
            </w:pPr>
            <w:r>
              <w:rPr>
                <w:rFonts w:ascii="Sylfaen" w:hAnsi="Sylfaen"/>
                <w:lang w:val="ka-GE"/>
              </w:rPr>
              <w:t>2356</w:t>
            </w:r>
          </w:p>
        </w:tc>
      </w:tr>
      <w:tr w:rsidR="009C462A" w:rsidTr="009C462A">
        <w:tc>
          <w:tcPr>
            <w:tcW w:w="2256" w:type="dxa"/>
          </w:tcPr>
          <w:p w:rsidR="009C462A" w:rsidRPr="009C462A" w:rsidRDefault="009C462A" w:rsidP="00472CA5">
            <w:pPr>
              <w:jc w:val="both"/>
              <w:rPr>
                <w:rFonts w:ascii="Sylfaen" w:hAnsi="Sylfaen"/>
                <w:sz w:val="18"/>
                <w:szCs w:val="18"/>
                <w:lang w:val="ka-GE"/>
              </w:rPr>
            </w:pPr>
            <w:r w:rsidRPr="009C462A">
              <w:rPr>
                <w:rFonts w:ascii="Sylfaen" w:hAnsi="Sylfaen"/>
                <w:sz w:val="18"/>
                <w:szCs w:val="18"/>
                <w:lang w:val="ka-GE"/>
              </w:rPr>
              <w:t>ინფექციური დაავადებების მართვის სახელმწიფო პროგრამა</w:t>
            </w:r>
          </w:p>
        </w:tc>
        <w:tc>
          <w:tcPr>
            <w:tcW w:w="1721" w:type="dxa"/>
          </w:tcPr>
          <w:p w:rsidR="009C462A" w:rsidRDefault="009C462A" w:rsidP="009C462A">
            <w:pPr>
              <w:jc w:val="center"/>
              <w:rPr>
                <w:rFonts w:ascii="Sylfaen" w:hAnsi="Sylfaen"/>
                <w:lang w:val="ka-GE"/>
              </w:rPr>
            </w:pPr>
            <w:r>
              <w:rPr>
                <w:rFonts w:ascii="Sylfaen" w:hAnsi="Sylfaen"/>
                <w:lang w:val="ka-GE"/>
              </w:rPr>
              <w:t>603</w:t>
            </w:r>
          </w:p>
        </w:tc>
        <w:tc>
          <w:tcPr>
            <w:tcW w:w="2142" w:type="dxa"/>
          </w:tcPr>
          <w:p w:rsidR="009C462A" w:rsidRDefault="009C462A" w:rsidP="009C462A">
            <w:pPr>
              <w:jc w:val="center"/>
              <w:rPr>
                <w:rFonts w:ascii="Sylfaen" w:hAnsi="Sylfaen"/>
                <w:lang w:val="ka-GE"/>
              </w:rPr>
            </w:pPr>
            <w:r>
              <w:rPr>
                <w:rFonts w:ascii="Sylfaen" w:hAnsi="Sylfaen"/>
                <w:lang w:val="ka-GE"/>
              </w:rPr>
              <w:t>813 649</w:t>
            </w:r>
          </w:p>
        </w:tc>
        <w:tc>
          <w:tcPr>
            <w:tcW w:w="1934" w:type="dxa"/>
          </w:tcPr>
          <w:p w:rsidR="009C462A" w:rsidRDefault="009C462A" w:rsidP="009C462A">
            <w:pPr>
              <w:jc w:val="center"/>
              <w:rPr>
                <w:rFonts w:ascii="Sylfaen" w:hAnsi="Sylfaen"/>
                <w:lang w:val="ka-GE"/>
              </w:rPr>
            </w:pPr>
            <w:r>
              <w:rPr>
                <w:rFonts w:ascii="Sylfaen" w:hAnsi="Sylfaen"/>
                <w:lang w:val="ka-GE"/>
              </w:rPr>
              <w:t>668 695</w:t>
            </w:r>
          </w:p>
        </w:tc>
        <w:tc>
          <w:tcPr>
            <w:tcW w:w="1523" w:type="dxa"/>
          </w:tcPr>
          <w:p w:rsidR="009C462A" w:rsidRDefault="009C462A" w:rsidP="009C462A">
            <w:pPr>
              <w:jc w:val="center"/>
              <w:rPr>
                <w:rFonts w:ascii="Sylfaen" w:hAnsi="Sylfaen"/>
                <w:lang w:val="ka-GE"/>
              </w:rPr>
            </w:pPr>
            <w:r>
              <w:rPr>
                <w:rFonts w:ascii="Sylfaen" w:hAnsi="Sylfaen"/>
                <w:lang w:val="ka-GE"/>
              </w:rPr>
              <w:t>1109</w:t>
            </w:r>
          </w:p>
        </w:tc>
      </w:tr>
    </w:tbl>
    <w:p w:rsidR="005B43D7" w:rsidRPr="005B43D7" w:rsidRDefault="005B43D7" w:rsidP="00472CA5">
      <w:pPr>
        <w:jc w:val="both"/>
        <w:rPr>
          <w:rFonts w:ascii="Sylfaen" w:hAnsi="Sylfaen"/>
          <w:lang w:val="ka-GE"/>
        </w:rPr>
      </w:pPr>
    </w:p>
    <w:sectPr w:rsidR="005B43D7" w:rsidRPr="005B43D7" w:rsidSect="00931F46">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5C05"/>
    <w:multiLevelType w:val="hybridMultilevel"/>
    <w:tmpl w:val="84901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79"/>
    <w:rsid w:val="002B0D7F"/>
    <w:rsid w:val="00472CA5"/>
    <w:rsid w:val="00505A79"/>
    <w:rsid w:val="005B43D7"/>
    <w:rsid w:val="007537C1"/>
    <w:rsid w:val="00931F46"/>
    <w:rsid w:val="009C462A"/>
    <w:rsid w:val="00C90315"/>
    <w:rsid w:val="00D2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7F"/>
    <w:pPr>
      <w:ind w:left="720"/>
      <w:contextualSpacing/>
    </w:pPr>
  </w:style>
  <w:style w:type="table" w:styleId="TableGrid">
    <w:name w:val="Table Grid"/>
    <w:basedOn w:val="TableNormal"/>
    <w:uiPriority w:val="59"/>
    <w:rsid w:val="005B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7F"/>
    <w:pPr>
      <w:ind w:left="720"/>
      <w:contextualSpacing/>
    </w:pPr>
  </w:style>
  <w:style w:type="table" w:styleId="TableGrid">
    <w:name w:val="Table Grid"/>
    <w:basedOn w:val="TableNormal"/>
    <w:uiPriority w:val="59"/>
    <w:rsid w:val="005B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cp:lastPrinted>2017-01-10T08:04:00Z</cp:lastPrinted>
  <dcterms:created xsi:type="dcterms:W3CDTF">2017-01-10T06:08:00Z</dcterms:created>
  <dcterms:modified xsi:type="dcterms:W3CDTF">2017-01-10T08:13:00Z</dcterms:modified>
</cp:coreProperties>
</file>